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di importo pari o superiore a 1.000.000 di euro mediante il sistema della procedura aperta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di importo pari o superiore a 1.000.000 di euro mediante il sistema della procedura aperta.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