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150.000 euro e inferiore a 1.000.000 di euro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150.000 euro e inferiore a 1.000.000 di euro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