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pari o superiore a 140.000 euro e inferiore alle soglie di cui all'articolo 14, D.Lgs. 36/2023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pari o superiore a 140.000 euro e inferiore alle soglie di cui all'articolo 14, D.Lgs. 36/2023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