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URBANISTICA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ed Edilizia privata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 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Provvedimento per l'esecuzione d'ufficio in caso di mancata ottemperanza da parte dei destinatari a quanto precedentemente ordinato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Provvedimento per l'esecuzione d'ufficio in caso di mancata ottemperanza da parte dei destinatari a quanto precedentemente ordinato.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