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3C1EA" w14:textId="0B5D5D2F" w:rsidR="00B739F1" w:rsidRDefault="00F26A3E" w:rsidP="00F26A3E">
      <w:pPr>
        <w:pStyle w:val="Titolo"/>
        <w:contextualSpacing w:val="0"/>
        <w:jc w:val="center"/>
        <w:rPr>
          <w:b/>
          <w:bCs/>
        </w:rPr>
      </w:pPr>
      <w:r>
        <w:rPr>
          <w:b/>
          <w:bCs/>
        </w:rPr>
        <w:t>FAQ 1</w:t>
      </w:r>
    </w:p>
    <w:p w14:paraId="2B322511" w14:textId="77777777" w:rsidR="00F26A3E" w:rsidRPr="00F26A3E" w:rsidRDefault="00F26A3E" w:rsidP="00F26A3E">
      <w:pPr>
        <w:spacing w:before="80" w:after="80"/>
      </w:pPr>
    </w:p>
    <w:p w14:paraId="1B200D6B" w14:textId="2D3938AD" w:rsidR="00F26A3E" w:rsidRDefault="00F26A3E" w:rsidP="00F26A3E">
      <w:pPr>
        <w:spacing w:before="80" w:after="80"/>
        <w:jc w:val="both"/>
        <w:rPr>
          <w:rFonts w:ascii="Calibri" w:hAnsi="Calibri" w:cs="Calibri"/>
          <w:b/>
          <w:bCs/>
          <w:sz w:val="28"/>
          <w:szCs w:val="28"/>
        </w:rPr>
      </w:pPr>
      <w:r>
        <w:rPr>
          <w:rFonts w:ascii="Calibri" w:hAnsi="Calibri" w:cs="Calibri"/>
          <w:b/>
          <w:bCs/>
          <w:sz w:val="28"/>
          <w:szCs w:val="28"/>
        </w:rPr>
        <w:t>Quesito 1 (Tipologia impianti, caratteristiche tecniche e materiali)</w:t>
      </w:r>
      <w:r w:rsidR="007722FF">
        <w:rPr>
          <w:rFonts w:ascii="Calibri" w:hAnsi="Calibri" w:cs="Calibri"/>
          <w:b/>
          <w:bCs/>
          <w:sz w:val="28"/>
          <w:szCs w:val="28"/>
        </w:rPr>
        <w:t>:</w:t>
      </w:r>
    </w:p>
    <w:p w14:paraId="0D2D7953" w14:textId="55254226" w:rsidR="00F26A3E" w:rsidRDefault="00F26A3E" w:rsidP="00F26A3E">
      <w:pPr>
        <w:spacing w:before="80" w:after="80"/>
        <w:jc w:val="both"/>
        <w:rPr>
          <w:rFonts w:ascii="Calibri" w:hAnsi="Calibri" w:cs="Calibri"/>
          <w:i/>
          <w:iCs/>
        </w:rPr>
      </w:pPr>
      <w:r w:rsidRPr="007722FF">
        <w:rPr>
          <w:rFonts w:ascii="Calibri" w:hAnsi="Calibri" w:cs="Calibri"/>
          <w:i/>
          <w:iCs/>
        </w:rPr>
        <w:t xml:space="preserve">Dalla lettura della documentazione pubblicata e del PGIP non risulta del tutto chiara la tipologia degli impianti da esporre sui pali della pubblica illuminazione. Si chiede se l’oggetto della manifestazione di interesse riguardi plance rigide da cm 100x140 o gonfaloni/locandine privi di rigidità da cm 100x140, rilevando che all’art. 17 comma 5 del PGIP descrive la locandina come priva di rigidezza, mentre nella precedente </w:t>
      </w:r>
      <w:r w:rsidR="007722FF" w:rsidRPr="007722FF">
        <w:rPr>
          <w:rFonts w:ascii="Calibri" w:hAnsi="Calibri" w:cs="Calibri"/>
          <w:i/>
          <w:iCs/>
        </w:rPr>
        <w:t xml:space="preserve">convenzione con il Comune le plance esposte erano rigide. </w:t>
      </w:r>
    </w:p>
    <w:p w14:paraId="4ADDE3DB" w14:textId="074003A4" w:rsidR="007722FF" w:rsidRDefault="007722FF" w:rsidP="007722FF">
      <w:pPr>
        <w:spacing w:before="240" w:after="80"/>
        <w:jc w:val="both"/>
        <w:rPr>
          <w:rFonts w:ascii="Calibri" w:hAnsi="Calibri" w:cs="Calibri"/>
          <w:b/>
          <w:bCs/>
          <w:sz w:val="28"/>
          <w:szCs w:val="28"/>
        </w:rPr>
      </w:pPr>
      <w:r>
        <w:rPr>
          <w:rFonts w:ascii="Calibri" w:hAnsi="Calibri" w:cs="Calibri"/>
          <w:b/>
          <w:bCs/>
          <w:sz w:val="28"/>
          <w:szCs w:val="28"/>
        </w:rPr>
        <w:t>Risposta dell’Amministrazione:</w:t>
      </w:r>
    </w:p>
    <w:p w14:paraId="31D94288" w14:textId="50DC52ED" w:rsidR="007722FF" w:rsidRDefault="007722FF" w:rsidP="007722FF">
      <w:pPr>
        <w:spacing w:before="80" w:after="80"/>
        <w:jc w:val="both"/>
        <w:rPr>
          <w:rFonts w:ascii="Calibri" w:hAnsi="Calibri" w:cs="Calibri"/>
        </w:rPr>
      </w:pPr>
      <w:r>
        <w:rPr>
          <w:rFonts w:ascii="Calibri" w:hAnsi="Calibri" w:cs="Calibri"/>
        </w:rPr>
        <w:t xml:space="preserve">Si chiarisce che il mezzo espositivo da prevedere deve fare riferimento alla tipologia “già in uso” sul territorio comunale. Nel merito tecnico, il manufatto dovrà obbligatoriamente rispettare i criteri strutturali e le caratteristiche costruttive ed estetiche fissate </w:t>
      </w:r>
      <w:r w:rsidRPr="00275084">
        <w:rPr>
          <w:rFonts w:ascii="Calibri" w:hAnsi="Calibri" w:cs="Calibri"/>
          <w:b/>
          <w:bCs/>
        </w:rPr>
        <w:t>dall’art. 7 del PGIP (“Caratteristiche tecniche e criteri strutturali”)</w:t>
      </w:r>
      <w:r>
        <w:rPr>
          <w:rFonts w:ascii="Calibri" w:hAnsi="Calibri" w:cs="Calibri"/>
        </w:rPr>
        <w:t>, mentre le dimensioni di riferimento sono quelle ripo</w:t>
      </w:r>
      <w:r w:rsidR="000C7C1C">
        <w:rPr>
          <w:rFonts w:ascii="Calibri" w:hAnsi="Calibri" w:cs="Calibri"/>
        </w:rPr>
        <w:t xml:space="preserve">rtate nelle relative schede di applicazione della normativa. </w:t>
      </w:r>
    </w:p>
    <w:p w14:paraId="7F643958" w14:textId="6A34E0FF" w:rsidR="000C7C1C" w:rsidRDefault="000C7C1C" w:rsidP="007722FF">
      <w:pPr>
        <w:spacing w:before="80" w:after="80"/>
        <w:jc w:val="both"/>
        <w:rPr>
          <w:rFonts w:ascii="Calibri" w:hAnsi="Calibri" w:cs="Calibri"/>
        </w:rPr>
      </w:pPr>
      <w:r>
        <w:rPr>
          <w:rFonts w:ascii="Calibri" w:hAnsi="Calibri" w:cs="Calibri"/>
        </w:rPr>
        <w:t xml:space="preserve">Tuttavia, si conferma che l’attuale formulazione dell’art. 17, comma 5 qualifica la “Locandina” ordinaria come mezzo privo di rigidezza. Poiché la presente procedura </w:t>
      </w:r>
      <w:r w:rsidR="00616C1E">
        <w:rPr>
          <w:rFonts w:ascii="Calibri" w:hAnsi="Calibri" w:cs="Calibri"/>
        </w:rPr>
        <w:t xml:space="preserve">ha natura squisitamente esplorativa, sperimentale e di consultazione del mercato, l’Amministrazione ha inserito nell’Avviso la richiesta di una “Relazione tecnico-gestionale in forma libera” (Punto 6) e la valutazione di “migliore o soluzioni innovative” (Punto 8) proprio per raccogliere le risposte tecniche e le esigenze di sostenibilità dal mercato. Qualora l’utilizzo di specifiche strutture rigide (es. formato 100x140 cm) risulti la soluzione tecnicamente o economicamente più idonea per gli operatori, tale indicazione dovrà essere evidenziata nella proposta progettuale e sarà oggetto di successiva valutazione comparativa in fase negoziale. L’ Amministrazione utilizzerà gli esiti di questa consultazione di mercato proprio per armonizzare e adeguare i successivi atti regolamentari e di pianificazione (PGIP) prima dell’affidamento definitivo. </w:t>
      </w:r>
    </w:p>
    <w:p w14:paraId="4C6025AB" w14:textId="619E15C4" w:rsidR="001851B6" w:rsidRDefault="00616C1E" w:rsidP="001851B6">
      <w:pPr>
        <w:spacing w:before="360" w:after="80"/>
        <w:jc w:val="both"/>
        <w:rPr>
          <w:rFonts w:ascii="Calibri" w:hAnsi="Calibri" w:cs="Calibri"/>
          <w:b/>
          <w:bCs/>
          <w:sz w:val="28"/>
          <w:szCs w:val="28"/>
        </w:rPr>
      </w:pPr>
      <w:r>
        <w:rPr>
          <w:rFonts w:ascii="Calibri" w:hAnsi="Calibri" w:cs="Calibri"/>
          <w:b/>
          <w:bCs/>
          <w:sz w:val="28"/>
          <w:szCs w:val="28"/>
        </w:rPr>
        <w:t>Quesito 2 (Zonizzazione e ammissibilità della pubblicità commerciale)</w:t>
      </w:r>
      <w:r w:rsidR="00F47FB9">
        <w:rPr>
          <w:rFonts w:ascii="Calibri" w:hAnsi="Calibri" w:cs="Calibri"/>
          <w:b/>
          <w:bCs/>
          <w:sz w:val="28"/>
          <w:szCs w:val="28"/>
        </w:rPr>
        <w:t>:</w:t>
      </w:r>
      <w:r>
        <w:rPr>
          <w:rFonts w:ascii="Calibri" w:hAnsi="Calibri" w:cs="Calibri"/>
          <w:b/>
          <w:bCs/>
          <w:sz w:val="28"/>
          <w:szCs w:val="28"/>
        </w:rPr>
        <w:t xml:space="preserve"> </w:t>
      </w:r>
    </w:p>
    <w:p w14:paraId="588206EA" w14:textId="056ED771" w:rsidR="001851B6" w:rsidRDefault="001851B6" w:rsidP="001851B6">
      <w:pPr>
        <w:spacing w:before="80" w:after="80"/>
        <w:jc w:val="both"/>
        <w:rPr>
          <w:rFonts w:ascii="Calibri" w:hAnsi="Calibri" w:cs="Calibri"/>
          <w:i/>
          <w:iCs/>
        </w:rPr>
      </w:pPr>
      <w:r>
        <w:rPr>
          <w:rFonts w:ascii="Calibri" w:hAnsi="Calibri" w:cs="Calibri"/>
          <w:i/>
          <w:iCs/>
        </w:rPr>
        <w:t>Nell’art. 17 comma 5 del PGIP, nella zonizzazione, la locandina commercial risulta “NON AMMESSA”</w:t>
      </w:r>
      <w:r w:rsidR="009D544B">
        <w:rPr>
          <w:rFonts w:ascii="Calibri" w:hAnsi="Calibri" w:cs="Calibri"/>
          <w:i/>
          <w:iCs/>
        </w:rPr>
        <w:t xml:space="preserve"> in tutte le zone del territorio comunale. Come deve essere letta questa indicazione in riferimento ai 16 pali a destinazione “LIBERA” previsti dall’Allegato Tecnico della manifestazione di interesse?</w:t>
      </w:r>
    </w:p>
    <w:p w14:paraId="5A685019" w14:textId="49A72B71" w:rsidR="009D544B" w:rsidRDefault="009D544B" w:rsidP="009D544B">
      <w:pPr>
        <w:spacing w:before="240" w:after="80"/>
        <w:jc w:val="both"/>
        <w:rPr>
          <w:rFonts w:ascii="Calibri" w:hAnsi="Calibri" w:cs="Calibri"/>
          <w:b/>
          <w:bCs/>
          <w:sz w:val="28"/>
          <w:szCs w:val="28"/>
        </w:rPr>
      </w:pPr>
      <w:r>
        <w:rPr>
          <w:rFonts w:ascii="Calibri" w:hAnsi="Calibri" w:cs="Calibri"/>
          <w:b/>
          <w:bCs/>
          <w:sz w:val="28"/>
          <w:szCs w:val="28"/>
        </w:rPr>
        <w:t xml:space="preserve">Risposta dell’Amministrazione: </w:t>
      </w:r>
    </w:p>
    <w:p w14:paraId="32B39E64" w14:textId="5E15E056" w:rsidR="009D544B" w:rsidRPr="009D544B" w:rsidRDefault="009D544B" w:rsidP="009D544B">
      <w:pPr>
        <w:spacing w:before="80" w:after="80"/>
        <w:jc w:val="both"/>
        <w:rPr>
          <w:rFonts w:ascii="Calibri" w:hAnsi="Calibri" w:cs="Calibri"/>
        </w:rPr>
      </w:pPr>
      <w:r>
        <w:rPr>
          <w:rFonts w:ascii="Calibri" w:hAnsi="Calibri" w:cs="Calibri"/>
        </w:rPr>
        <w:t>il divieto generale del PGIP si applica alle installazioni dirette eseguite ordinariamente e singolarmente dai soggetti privati</w:t>
      </w:r>
      <w:r w:rsidR="005C3F8B">
        <w:rPr>
          <w:rFonts w:ascii="Calibri" w:hAnsi="Calibri" w:cs="Calibri"/>
        </w:rPr>
        <w:t>. L</w:t>
      </w:r>
      <w:r>
        <w:rPr>
          <w:rFonts w:ascii="Calibri" w:hAnsi="Calibri" w:cs="Calibri"/>
        </w:rPr>
        <w:t xml:space="preserve">a presente procedura avvia invece un procedimento  </w:t>
      </w:r>
      <w:r w:rsidR="005C3F8B">
        <w:rPr>
          <w:rFonts w:ascii="Calibri" w:hAnsi="Calibri" w:cs="Calibri"/>
        </w:rPr>
        <w:t xml:space="preserve">per l’affidamento di una concessione di servizi a rilevanza pubblica. L’obiettivo dell’Ente è l’interesse pubblico (la gestione dei pali istituzionali e la razionalizzazione stradale). La concessione in esclusiva </w:t>
      </w:r>
      <w:r w:rsidR="00063B5F">
        <w:rPr>
          <w:rFonts w:ascii="Calibri" w:hAnsi="Calibri" w:cs="Calibri"/>
        </w:rPr>
        <w:t xml:space="preserve">dei 16 pali contrassegnati come </w:t>
      </w:r>
      <w:r w:rsidR="00063B5F" w:rsidRPr="00275084">
        <w:rPr>
          <w:rFonts w:ascii="Calibri" w:hAnsi="Calibri" w:cs="Calibri"/>
          <w:b/>
          <w:bCs/>
        </w:rPr>
        <w:t>“LIBERA”</w:t>
      </w:r>
      <w:r w:rsidR="00063B5F">
        <w:rPr>
          <w:rFonts w:ascii="Calibri" w:hAnsi="Calibri" w:cs="Calibri"/>
        </w:rPr>
        <w:t xml:space="preserve"> nell’Allegato Tecnico agirà come contropartita commerciale a scomputo del servizio svolto per conto del Comune. </w:t>
      </w:r>
      <w:r w:rsidR="00063B5F" w:rsidRPr="00275084">
        <w:rPr>
          <w:rFonts w:ascii="Calibri" w:hAnsi="Calibri" w:cs="Calibri"/>
          <w:b/>
          <w:bCs/>
        </w:rPr>
        <w:t>Per il solo soggetto concessionario affidatario, la pubblicità commercial sui pali “LIBERA” è pertanto da considerarsi ammessa</w:t>
      </w:r>
      <w:r w:rsidR="00063B5F">
        <w:rPr>
          <w:rFonts w:ascii="Calibri" w:hAnsi="Calibri" w:cs="Calibri"/>
        </w:rPr>
        <w:t xml:space="preserve">, nei limiti previsti dalla convenzione. L’Amministrazione utilizzerà l’esito di questa indagine di mercato proprio per armonizzare e adeguare di conseguenza i successivi atti regolamentari e di pianificazione (PGIP), conformemente alle soluzioni gestionali che si dimostreranno idonee e convenienti per l’Ente. La partecipazione alla presente manifestazione è quindi il presupposto necessario per definire tale assetto. </w:t>
      </w:r>
    </w:p>
    <w:p w14:paraId="4D7A1217" w14:textId="77777777" w:rsidR="00063B5F" w:rsidRDefault="00063B5F" w:rsidP="00063B5F">
      <w:pPr>
        <w:spacing w:before="360" w:after="80"/>
        <w:jc w:val="both"/>
        <w:rPr>
          <w:rFonts w:ascii="Calibri" w:hAnsi="Calibri" w:cs="Calibri"/>
          <w:b/>
          <w:bCs/>
          <w:sz w:val="28"/>
          <w:szCs w:val="28"/>
        </w:rPr>
      </w:pPr>
    </w:p>
    <w:p w14:paraId="5122558F" w14:textId="08B5F9E4" w:rsidR="007722FF" w:rsidRDefault="00063B5F" w:rsidP="00063B5F">
      <w:pPr>
        <w:spacing w:before="360" w:after="80"/>
        <w:jc w:val="both"/>
        <w:rPr>
          <w:rFonts w:ascii="Calibri" w:hAnsi="Calibri" w:cs="Calibri"/>
          <w:b/>
          <w:bCs/>
          <w:sz w:val="28"/>
          <w:szCs w:val="28"/>
        </w:rPr>
      </w:pPr>
      <w:r>
        <w:rPr>
          <w:rFonts w:ascii="Calibri" w:hAnsi="Calibri" w:cs="Calibri"/>
          <w:b/>
          <w:bCs/>
          <w:sz w:val="28"/>
          <w:szCs w:val="28"/>
        </w:rPr>
        <w:t>Quesito 3 (Tempi di esposizione, pubblicità permanente e principio di rotazione)</w:t>
      </w:r>
      <w:r w:rsidR="00F47FB9">
        <w:rPr>
          <w:rFonts w:ascii="Calibri" w:hAnsi="Calibri" w:cs="Calibri"/>
          <w:b/>
          <w:bCs/>
          <w:sz w:val="28"/>
          <w:szCs w:val="28"/>
        </w:rPr>
        <w:t>:</w:t>
      </w:r>
    </w:p>
    <w:p w14:paraId="18AE5ED3" w14:textId="54FA2CEB" w:rsidR="00063B5F" w:rsidRDefault="00063B5F" w:rsidP="00063B5F">
      <w:pPr>
        <w:spacing w:before="80" w:after="80"/>
        <w:jc w:val="both"/>
        <w:rPr>
          <w:rFonts w:ascii="Calibri" w:hAnsi="Calibri" w:cs="Calibri"/>
          <w:i/>
          <w:iCs/>
        </w:rPr>
      </w:pPr>
      <w:r>
        <w:rPr>
          <w:rFonts w:ascii="Calibri" w:hAnsi="Calibri" w:cs="Calibri"/>
          <w:i/>
          <w:iCs/>
        </w:rPr>
        <w:t xml:space="preserve">Si chiedono chiarimenti in merito alla durata temporale delle esposizioni, dato che il PGIP prevede un limite di 8 giorni per le locandine mentre l’Avviso parla di campagne da 28 giorni, specificando se siano possibili pubblicità commerciali </w:t>
      </w:r>
      <w:r w:rsidR="00F47FB9">
        <w:rPr>
          <w:rFonts w:ascii="Calibri" w:hAnsi="Calibri" w:cs="Calibri"/>
          <w:i/>
          <w:iCs/>
        </w:rPr>
        <w:t>permanenti (annuali). Si chiede inoltre se l’introduzione del principio di rotazione (Punto 7 dell’Avviso) e la ricerca di 10 operatori escludano automaticamente il gestore uscente e se sia possibile richiedere un incontro tecnico in presenta.</w:t>
      </w:r>
    </w:p>
    <w:p w14:paraId="5DC5B91B" w14:textId="1A3796BA" w:rsidR="00F47FB9" w:rsidRDefault="00F47FB9" w:rsidP="00F47FB9">
      <w:pPr>
        <w:spacing w:before="240" w:after="80"/>
        <w:jc w:val="both"/>
        <w:rPr>
          <w:rFonts w:ascii="Calibri" w:hAnsi="Calibri" w:cs="Calibri"/>
          <w:b/>
          <w:bCs/>
          <w:sz w:val="28"/>
          <w:szCs w:val="28"/>
        </w:rPr>
      </w:pPr>
      <w:r>
        <w:rPr>
          <w:rFonts w:ascii="Calibri" w:hAnsi="Calibri" w:cs="Calibri"/>
          <w:b/>
          <w:bCs/>
          <w:sz w:val="28"/>
          <w:szCs w:val="28"/>
        </w:rPr>
        <w:t xml:space="preserve">Risposta dell’Amministrazione: </w:t>
      </w:r>
    </w:p>
    <w:p w14:paraId="0BAD605C" w14:textId="29E1EF86" w:rsidR="00F47FB9" w:rsidRDefault="00F47FB9" w:rsidP="00F47FB9">
      <w:pPr>
        <w:spacing w:before="80" w:after="80"/>
        <w:jc w:val="both"/>
        <w:rPr>
          <w:rFonts w:ascii="Calibri" w:hAnsi="Calibri" w:cs="Calibri"/>
        </w:rPr>
      </w:pPr>
      <w:r>
        <w:rPr>
          <w:rFonts w:ascii="Calibri" w:hAnsi="Calibri" w:cs="Calibri"/>
        </w:rPr>
        <w:t xml:space="preserve">In base al vigente </w:t>
      </w:r>
      <w:r w:rsidR="00A67F2E">
        <w:rPr>
          <w:rFonts w:ascii="Calibri" w:hAnsi="Calibri" w:cs="Calibri"/>
        </w:rPr>
        <w:t xml:space="preserve">PGIP; non è consentita l’installazione di pubblicità commerciale permanente (annuale) sui pali della pubblica illuminazione. Il servizio </w:t>
      </w:r>
      <w:r w:rsidR="00253B29">
        <w:rPr>
          <w:rFonts w:ascii="Calibri" w:hAnsi="Calibri" w:cs="Calibri"/>
        </w:rPr>
        <w:t xml:space="preserve">è strutturato tassativamente su campagne temporanee a rotazione. La durata di </w:t>
      </w:r>
      <w:r w:rsidR="00253B29" w:rsidRPr="00275084">
        <w:rPr>
          <w:rFonts w:ascii="Calibri" w:hAnsi="Calibri" w:cs="Calibri"/>
          <w:b/>
          <w:bCs/>
        </w:rPr>
        <w:t>28 giorni</w:t>
      </w:r>
      <w:r w:rsidR="00253B29">
        <w:rPr>
          <w:rFonts w:ascii="Calibri" w:hAnsi="Calibri" w:cs="Calibri"/>
        </w:rPr>
        <w:t xml:space="preserve"> </w:t>
      </w:r>
      <w:r w:rsidR="00292A14">
        <w:rPr>
          <w:rFonts w:ascii="Calibri" w:hAnsi="Calibri" w:cs="Calibri"/>
        </w:rPr>
        <w:t xml:space="preserve">per singola campagna indicata nell’Avviso Pubblico è pienamente legittima </w:t>
      </w:r>
      <w:r w:rsidR="00292A14" w:rsidRPr="00275084">
        <w:rPr>
          <w:rFonts w:ascii="Calibri" w:hAnsi="Calibri" w:cs="Calibri"/>
        </w:rPr>
        <w:t>dall’</w:t>
      </w:r>
      <w:r w:rsidR="00292A14" w:rsidRPr="00275084">
        <w:rPr>
          <w:rFonts w:ascii="Calibri" w:hAnsi="Calibri" w:cs="Calibri"/>
          <w:b/>
          <w:bCs/>
        </w:rPr>
        <w:t>art. 25, comma 3 del PGIP</w:t>
      </w:r>
      <w:r w:rsidR="00933F19">
        <w:rPr>
          <w:rFonts w:ascii="Calibri" w:hAnsi="Calibri" w:cs="Calibri"/>
        </w:rPr>
        <w:t xml:space="preserve"> il quale consente deroghe temporali per i contratti di sponsorizzazione e le convenzioni stipulate con l’Amministrazione Comunale. I cicli espositivi commerciali sui 16 pali “LIBERA” seguiranno la medesima programmazione temporale di 28 giorni definita nella bozza di convenzione. </w:t>
      </w:r>
    </w:p>
    <w:p w14:paraId="3FABF344" w14:textId="77777777" w:rsidR="00275084" w:rsidRDefault="00641D83" w:rsidP="00F47FB9">
      <w:pPr>
        <w:spacing w:before="80" w:after="80"/>
        <w:jc w:val="both"/>
        <w:rPr>
          <w:rFonts w:ascii="Calibri" w:hAnsi="Calibri" w:cs="Calibri"/>
        </w:rPr>
      </w:pPr>
      <w:r>
        <w:rPr>
          <w:rFonts w:ascii="Calibri" w:hAnsi="Calibri" w:cs="Calibri"/>
        </w:rPr>
        <w:t xml:space="preserve">Per quanto concerne il principio di rotazione, si rassicura che il richiamo al Punto 7 dell’Avviso risponde agli obblighi normativi di ricognizione del mercato previsti dal D.Lgs. 36/2023 per le procedure sottosoglia, ma non determina in alcun modo l’esclusione automatica dell’operatore uscente. Tutti gli operatori idonei sono pienamente legittimati a presentare la propria candidatura. </w:t>
      </w:r>
    </w:p>
    <w:p w14:paraId="59CD024A" w14:textId="3559DF6C" w:rsidR="00933F19" w:rsidRDefault="00641D83" w:rsidP="00F47FB9">
      <w:pPr>
        <w:spacing w:before="80" w:after="80"/>
        <w:jc w:val="both"/>
        <w:rPr>
          <w:rFonts w:ascii="Calibri" w:hAnsi="Calibri" w:cs="Calibri"/>
          <w:b/>
          <w:bCs/>
        </w:rPr>
      </w:pPr>
      <w:r>
        <w:rPr>
          <w:rFonts w:ascii="Calibri" w:hAnsi="Calibri" w:cs="Calibri"/>
        </w:rPr>
        <w:t>Infine, relativamente alla richiesta di incontro</w:t>
      </w:r>
      <w:r w:rsidR="00275084">
        <w:rPr>
          <w:rFonts w:ascii="Calibri" w:hAnsi="Calibri" w:cs="Calibri"/>
        </w:rPr>
        <w:t xml:space="preserve">, al fine di garantire la parità di trattamento tra tutti i potenziali concorrenti nella fase attuale della procedura, si comunica che l’Amministrazione è tenuta a gestire chiarimenti e le informazioni </w:t>
      </w:r>
      <w:r w:rsidR="00275084" w:rsidRPr="00275084">
        <w:rPr>
          <w:rFonts w:ascii="Calibri" w:hAnsi="Calibri" w:cs="Calibri"/>
          <w:b/>
          <w:bCs/>
        </w:rPr>
        <w:t xml:space="preserve">esclusivamente in forma scritta e per via telematica. </w:t>
      </w:r>
    </w:p>
    <w:p w14:paraId="5EFA6B0B" w14:textId="77777777" w:rsidR="00275084" w:rsidRDefault="00275084" w:rsidP="00F47FB9">
      <w:pPr>
        <w:spacing w:before="80" w:after="80"/>
        <w:jc w:val="both"/>
        <w:rPr>
          <w:rFonts w:ascii="Calibri" w:hAnsi="Calibri" w:cs="Calibri"/>
          <w:b/>
          <w:bCs/>
        </w:rPr>
      </w:pPr>
    </w:p>
    <w:p w14:paraId="6085F6CA" w14:textId="77777777" w:rsidR="00275084" w:rsidRDefault="00275084" w:rsidP="00F47FB9">
      <w:pPr>
        <w:spacing w:before="80" w:after="80"/>
        <w:jc w:val="both"/>
        <w:rPr>
          <w:rFonts w:ascii="Calibri" w:hAnsi="Calibri" w:cs="Calibri"/>
          <w:b/>
          <w:bCs/>
        </w:rPr>
      </w:pPr>
    </w:p>
    <w:p w14:paraId="1D2262FB" w14:textId="02ECBD4D" w:rsidR="00275084" w:rsidRPr="00275084" w:rsidRDefault="00275084" w:rsidP="00F47FB9">
      <w:pPr>
        <w:spacing w:before="80" w:after="80"/>
        <w:jc w:val="both"/>
        <w:rPr>
          <w:rFonts w:ascii="Calibri" w:hAnsi="Calibri" w:cs="Calibri"/>
          <w:b/>
          <w:bCs/>
        </w:rPr>
      </w:pPr>
      <w:r w:rsidRPr="00275084">
        <w:rPr>
          <w:rFonts w:ascii="Calibri" w:hAnsi="Calibri" w:cs="Calibri"/>
          <w:b/>
          <w:bCs/>
        </w:rPr>
        <w:t>Si rammenta che il termine tassativo per la trasmissione delle manifestazioni di interesse tramite PEC è fissato per il 15/09/2026 alle ore 18:00.</w:t>
      </w:r>
    </w:p>
    <w:sectPr w:rsidR="00275084" w:rsidRPr="0027508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A3E"/>
    <w:rsid w:val="00063B5F"/>
    <w:rsid w:val="000C7C1C"/>
    <w:rsid w:val="001851B6"/>
    <w:rsid w:val="00253B29"/>
    <w:rsid w:val="00275084"/>
    <w:rsid w:val="00292A14"/>
    <w:rsid w:val="003C6A8B"/>
    <w:rsid w:val="005C3F8B"/>
    <w:rsid w:val="00616C1E"/>
    <w:rsid w:val="00641D83"/>
    <w:rsid w:val="007722FF"/>
    <w:rsid w:val="00897A5E"/>
    <w:rsid w:val="00933F19"/>
    <w:rsid w:val="009A7AFD"/>
    <w:rsid w:val="009D544B"/>
    <w:rsid w:val="00A67F2E"/>
    <w:rsid w:val="00B739F1"/>
    <w:rsid w:val="00C346EC"/>
    <w:rsid w:val="00F26A3E"/>
    <w:rsid w:val="00F47F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2526"/>
  <w15:chartTrackingRefBased/>
  <w15:docId w15:val="{4B39BB0E-3264-4E28-BDD2-F2F16E0DA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26A3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F26A3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F26A3E"/>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F26A3E"/>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F26A3E"/>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F26A3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26A3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26A3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26A3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26A3E"/>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F26A3E"/>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F26A3E"/>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F26A3E"/>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F26A3E"/>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F26A3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26A3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26A3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26A3E"/>
    <w:rPr>
      <w:rFonts w:eastAsiaTheme="majorEastAsia" w:cstheme="majorBidi"/>
      <w:color w:val="272727" w:themeColor="text1" w:themeTint="D8"/>
    </w:rPr>
  </w:style>
  <w:style w:type="paragraph" w:styleId="Titolo">
    <w:name w:val="Title"/>
    <w:basedOn w:val="Normale"/>
    <w:next w:val="Normale"/>
    <w:link w:val="TitoloCarattere"/>
    <w:uiPriority w:val="10"/>
    <w:qFormat/>
    <w:rsid w:val="00F26A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26A3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26A3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26A3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26A3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26A3E"/>
    <w:rPr>
      <w:i/>
      <w:iCs/>
      <w:color w:val="404040" w:themeColor="text1" w:themeTint="BF"/>
    </w:rPr>
  </w:style>
  <w:style w:type="paragraph" w:styleId="Paragrafoelenco">
    <w:name w:val="List Paragraph"/>
    <w:basedOn w:val="Normale"/>
    <w:uiPriority w:val="34"/>
    <w:qFormat/>
    <w:rsid w:val="00F26A3E"/>
    <w:pPr>
      <w:ind w:left="720"/>
      <w:contextualSpacing/>
    </w:pPr>
  </w:style>
  <w:style w:type="character" w:styleId="Enfasiintensa">
    <w:name w:val="Intense Emphasis"/>
    <w:basedOn w:val="Carpredefinitoparagrafo"/>
    <w:uiPriority w:val="21"/>
    <w:qFormat/>
    <w:rsid w:val="00F26A3E"/>
    <w:rPr>
      <w:i/>
      <w:iCs/>
      <w:color w:val="2E74B5" w:themeColor="accent1" w:themeShade="BF"/>
    </w:rPr>
  </w:style>
  <w:style w:type="paragraph" w:styleId="Citazioneintensa">
    <w:name w:val="Intense Quote"/>
    <w:basedOn w:val="Normale"/>
    <w:next w:val="Normale"/>
    <w:link w:val="CitazioneintensaCarattere"/>
    <w:uiPriority w:val="30"/>
    <w:qFormat/>
    <w:rsid w:val="00F26A3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F26A3E"/>
    <w:rPr>
      <w:i/>
      <w:iCs/>
      <w:color w:val="2E74B5" w:themeColor="accent1" w:themeShade="BF"/>
    </w:rPr>
  </w:style>
  <w:style w:type="character" w:styleId="Riferimentointenso">
    <w:name w:val="Intense Reference"/>
    <w:basedOn w:val="Carpredefinitoparagrafo"/>
    <w:uiPriority w:val="32"/>
    <w:qFormat/>
    <w:rsid w:val="00F26A3E"/>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2</Pages>
  <Words>842</Words>
  <Characters>4802</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Cattaneo</dc:creator>
  <cp:keywords/>
  <dc:description/>
  <cp:lastModifiedBy>Rebecca Cattaneo</cp:lastModifiedBy>
  <cp:revision>1</cp:revision>
  <dcterms:created xsi:type="dcterms:W3CDTF">2026-09-07T07:34:00Z</dcterms:created>
  <dcterms:modified xsi:type="dcterms:W3CDTF">2026-09-07T10:48:00Z</dcterms:modified>
</cp:coreProperties>
</file>